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eastAsia="仿宋_GB2312"/>
          <w:sz w:val="32"/>
        </w:rPr>
      </w:pPr>
      <w:r>
        <w:rPr>
          <w:rFonts w:hint="eastAsia" w:ascii="仿宋_GB2312" w:eastAsia="仿宋_GB2312"/>
          <w:sz w:val="32"/>
          <w:szCs w:val="32"/>
        </w:rPr>
        <w:t>临县府办发〔202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临夏县人民政府办公室</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z w:val="44"/>
          <w:szCs w:val="44"/>
        </w:rPr>
        <w:t>2023年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临夏</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深化简政放权放管结合优化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服务改革工作要点的通知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各乡（镇）人民政府，县直及省州驻县</w:t>
      </w: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现将《2023年临夏县深化简政放权放管结合优化服务改革工作要点》印发给你们，请结合实际认真抓好贯彻落实。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临夏县人民政府办公室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宋体" w:cs="宋体"/>
          <w:sz w:val="32"/>
          <w:szCs w:val="32"/>
          <w:lang w:eastAsia="zh-CN"/>
        </w:rPr>
      </w:pPr>
      <w:r>
        <w:rPr>
          <w:rFonts w:hint="eastAsia" w:ascii="仿宋_GB2312" w:hAnsi="仿宋_GB2312" w:eastAsia="仿宋_GB2312" w:cs="仿宋_GB2312"/>
          <w:sz w:val="32"/>
          <w:szCs w:val="32"/>
          <w:lang w:val="en-US" w:eastAsia="zh-CN"/>
        </w:rPr>
        <w:t xml:space="preserve">     2023年6月6日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2023年临夏县深化简政放权放管结合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优化服务改革工作要点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2023年是全面贯彻党的二十大精神的开局之年，是实施“十四五”规划承上启下的关键一年。今</w:t>
      </w:r>
      <w:r>
        <w:rPr>
          <w:rFonts w:hint="eastAsia" w:ascii="仿宋_GB2312" w:hAnsi="仿宋_GB2312" w:eastAsia="仿宋_GB2312" w:cs="仿宋_GB2312"/>
          <w:sz w:val="32"/>
          <w:szCs w:val="32"/>
        </w:rPr>
        <w:t>年深化简政放权放管结合优化服务改革工作的总体要求是：以习近平新时代中国特色社会主义思想为指导，全面贯彻党的二十大精神，紧紧围绕</w:t>
      </w:r>
      <w:r>
        <w:rPr>
          <w:rFonts w:hint="eastAsia" w:ascii="仿宋_GB2312" w:hAnsi="仿宋_GB2312" w:eastAsia="仿宋_GB2312" w:cs="仿宋_GB2312"/>
          <w:sz w:val="32"/>
          <w:szCs w:val="32"/>
          <w:lang w:eastAsia="zh-CN"/>
        </w:rPr>
        <w:t>州委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政府关于深化简政放权、放管结合、优化服务改革和加强数字政府建设的具体要求，结合开展优化营商环境攻坚突破年行动，推进政府职能转变，激发市场主体活力，提升群众办事便利度，推动政府数字化履职能力和政务服务水平全面提升，着力打造服务型政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深化简政放权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推进行政审批制度改革。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1.持续开展行政许可事项清单管理。</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统</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安排，及时动态调整县</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行政许可事项清单，补充完善行政许可事项实施规范，及时在全国一体化政务服务平台、相关业务系统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政务服务中心等平台和场所公布办事指南。</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牵</w:t>
      </w:r>
      <w:r>
        <w:rPr>
          <w:rFonts w:hint="eastAsia" w:ascii="楷体" w:hAnsi="楷体" w:eastAsia="楷体" w:cs="楷体"/>
          <w:b w:val="0"/>
          <w:bCs w:val="0"/>
          <w:sz w:val="32"/>
          <w:szCs w:val="32"/>
        </w:rPr>
        <w:t>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2.认真做好承接落实工作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省州</w:t>
      </w:r>
      <w:r>
        <w:rPr>
          <w:rFonts w:hint="eastAsia" w:ascii="仿宋_GB2312" w:hAnsi="仿宋_GB2312" w:eastAsia="仿宋_GB2312" w:cs="仿宋_GB2312"/>
          <w:sz w:val="32"/>
          <w:szCs w:val="32"/>
        </w:rPr>
        <w:t>取消调整下放行政审批事项的承接落实工作，进一步提高承接能力，确保事项放得下，接得住，管得好；强化行政备案事项清单管理，切实落实好分类管理措施，坚决防止备案变审批，运用备案信息提升政府监管效能和政务服务水平</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牵</w:t>
      </w:r>
      <w:r>
        <w:rPr>
          <w:rFonts w:hint="eastAsia" w:ascii="楷体" w:hAnsi="楷体" w:eastAsia="楷体" w:cs="楷体"/>
          <w:b w:val="0"/>
          <w:bCs w:val="0"/>
          <w:sz w:val="32"/>
          <w:szCs w:val="32"/>
        </w:rPr>
        <w:t>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畅通市场主体准入、准营和退出。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3.全面实施市场准入负面清单管理。</w:t>
      </w:r>
      <w:r>
        <w:rPr>
          <w:rFonts w:hint="eastAsia" w:ascii="仿宋_GB2312" w:hAnsi="仿宋_GB2312" w:eastAsia="仿宋_GB2312" w:cs="仿宋_GB2312"/>
          <w:sz w:val="32"/>
          <w:szCs w:val="32"/>
        </w:rPr>
        <w:t>健全市场准入负面清单管理及动态调整机制，进一步完善与市场准入负面清单、外资准入负面清单制度相适应的审批和监管机制，全面清理自行发布的带有市场准入性质的隐性壁垒。</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商务局、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4.推进商事制度改革。</w:t>
      </w:r>
      <w:r>
        <w:rPr>
          <w:rFonts w:hint="eastAsia" w:ascii="仿宋_GB2312" w:hAnsi="仿宋_GB2312" w:eastAsia="仿宋_GB2312" w:cs="仿宋_GB2312"/>
          <w:sz w:val="32"/>
          <w:szCs w:val="32"/>
        </w:rPr>
        <w:t>提升市场主体登记便利化程度，优化名称自主申报服务，创新企业住所登记模式，全面推行经营范围规范化登记。持续优化全程电子化登记系统市场主体变更登记功能，加快对具备条件的变更登记事项实现全程网办，提升变更登记效率。完善市场主体退出机制，拓展简易注销登记适用范围，对符合条件的企业实现注销登记全程网办。</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5.持续推进“证照分离”改革。</w:t>
      </w:r>
      <w:r>
        <w:rPr>
          <w:rFonts w:hint="eastAsia" w:ascii="仿宋_GB2312" w:hAnsi="仿宋_GB2312" w:eastAsia="仿宋_GB2312" w:cs="仿宋_GB2312"/>
          <w:sz w:val="32"/>
          <w:szCs w:val="32"/>
        </w:rPr>
        <w:t>落实涉企经营许可事项清单</w:t>
      </w:r>
      <w:r>
        <w:rPr>
          <w:rFonts w:hint="eastAsia" w:ascii="仿宋_GB2312" w:hAnsi="仿宋_GB2312" w:eastAsia="仿宋_GB2312" w:cs="仿宋_GB2312"/>
          <w:sz w:val="32"/>
          <w:szCs w:val="32"/>
          <w:lang w:eastAsia="zh-CN"/>
        </w:rPr>
        <w:t>管理制度，优化业务流程，完善办事指南，确保取消</w:t>
      </w:r>
      <w:r>
        <w:rPr>
          <w:rFonts w:hint="eastAsia" w:ascii="仿宋_GB2312" w:hAnsi="仿宋_GB2312" w:eastAsia="仿宋_GB2312" w:cs="仿宋_GB2312"/>
          <w:sz w:val="32"/>
          <w:szCs w:val="32"/>
        </w:rPr>
        <w:t>审批、审批改为备案、实行告知承诺、优化审批服务</w:t>
      </w:r>
      <w:r>
        <w:rPr>
          <w:rFonts w:hint="eastAsia" w:ascii="仿宋_GB2312" w:hAnsi="仿宋_GB2312" w:eastAsia="仿宋_GB2312" w:cs="仿宋_GB2312"/>
          <w:sz w:val="32"/>
          <w:szCs w:val="32"/>
          <w:lang w:eastAsia="zh-CN"/>
        </w:rPr>
        <w:t>的事项全面落地。按照直接取消审批、审批改为备案、</w:t>
      </w:r>
      <w:r>
        <w:rPr>
          <w:rFonts w:hint="eastAsia" w:ascii="仿宋_GB2312" w:hAnsi="仿宋_GB2312" w:eastAsia="仿宋_GB2312" w:cs="仿宋_GB2312"/>
          <w:sz w:val="32"/>
          <w:szCs w:val="32"/>
        </w:rPr>
        <w:t>实行告知承诺、优化审批服务“四种改革方式”逐项落实监管责任、规则、方式，实现审批监管权责一致，防止出现监管真空。</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二、推进放管结合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完善综合监管体系。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lang w:val="en-US" w:eastAsia="zh-CN"/>
        </w:rPr>
      </w:pPr>
      <w:r>
        <w:rPr>
          <w:rFonts w:hint="eastAsia" w:ascii="仿宋_GB2312" w:hAnsi="仿宋_GB2312" w:eastAsia="仿宋_GB2312" w:cs="仿宋_GB2312"/>
          <w:b/>
          <w:bCs/>
          <w:sz w:val="32"/>
          <w:szCs w:val="32"/>
        </w:rPr>
        <w:t>6.持续提高政府监管效能。</w:t>
      </w:r>
      <w:r>
        <w:rPr>
          <w:rFonts w:hint="eastAsia" w:ascii="仿宋_GB2312" w:hAnsi="仿宋_GB2312" w:eastAsia="仿宋_GB2312" w:cs="仿宋_GB2312"/>
          <w:sz w:val="32"/>
          <w:szCs w:val="32"/>
        </w:rPr>
        <w:t>抓好《甘肃省人民政府关于印发进一步提高政府监管效能推动高质量发展实施方案的通知》的推进落实，围绕建立事前事中事后全链条全领域监管，理清责任链条、提高履责效能，加快建立全方位、多层次、立体化监管体系。</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7.推进跨部门综合监管。</w:t>
      </w:r>
      <w:r>
        <w:rPr>
          <w:rFonts w:hint="eastAsia" w:ascii="仿宋_GB2312" w:hAnsi="仿宋_GB2312" w:eastAsia="仿宋_GB2312" w:cs="仿宋_GB2312"/>
          <w:sz w:val="32"/>
          <w:szCs w:val="32"/>
        </w:rPr>
        <w:t>深入推进《甘肃省人民政府办公厅关于印发深入推进跨部门综合监管若干措施》的落实，加强与</w:t>
      </w:r>
      <w:r>
        <w:rPr>
          <w:rFonts w:hint="eastAsia" w:ascii="仿宋_GB2312" w:hAnsi="仿宋_GB2312" w:eastAsia="仿宋_GB2312" w:cs="仿宋_GB2312"/>
          <w:sz w:val="32"/>
          <w:szCs w:val="32"/>
          <w:lang w:eastAsia="zh-CN"/>
        </w:rPr>
        <w:t>州级</w:t>
      </w:r>
      <w:r>
        <w:rPr>
          <w:rFonts w:hint="eastAsia" w:ascii="仿宋_GB2312" w:hAnsi="仿宋_GB2312" w:eastAsia="仿宋_GB2312" w:cs="仿宋_GB2312"/>
          <w:sz w:val="32"/>
          <w:szCs w:val="32"/>
        </w:rPr>
        <w:t>行业主管部门沟通衔接，认真梳理综合监管事项，加大对</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工作指导力度，紧紧围绕</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政府安排部署抓好跨部门综合监管落实。</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强化事前事中事后全链条全领域监管。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8.推进“互联网+监管”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依托互联网，运用大数据、云计算、人工智能等技术手段，推动监管过程全记录、监管联动、监管数据可分析，不断提升监管规范化、精准化和智能化水平。加强各类监管数据的汇聚和应用，建立市场主体全生命周期监管链，积极推行非现场监管，探索基于风险预警的监管新模式，强化风险监测和预警处置。</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9.推进“双随机、一公开”监管。</w:t>
      </w:r>
      <w:r>
        <w:rPr>
          <w:rFonts w:hint="eastAsia" w:ascii="仿宋_GB2312" w:hAnsi="仿宋_GB2312" w:eastAsia="仿宋_GB2312" w:cs="仿宋_GB2312"/>
          <w:sz w:val="32"/>
          <w:szCs w:val="32"/>
        </w:rPr>
        <w:t>加强对“一单两库一细则”的动态管理，提升随机抽查精准性和有效性，推动涉企日常监管更多采用“双随机、一公开”监管方式。</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10.加快实施信用风险分类监管。</w:t>
      </w:r>
      <w:r>
        <w:rPr>
          <w:rFonts w:hint="eastAsia" w:ascii="仿宋_GB2312" w:hAnsi="仿宋_GB2312" w:eastAsia="仿宋_GB2312" w:cs="仿宋_GB2312"/>
          <w:sz w:val="32"/>
          <w:szCs w:val="32"/>
        </w:rPr>
        <w:t>依托</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级社会信用信息平台，深入开展公共信用综合评价，评价结果定期推送有关单位使用。扎实开展行业信用评价，统筹使用公共信用评价、行业信用评价等结果，对监管对象实施分级分类监管。不断完善失信联合惩戒机制，按照全国统一的失信惩戒措施清单，加大对重点领域和严重失信行为的联合惩戒力度，强化企业经营异常名录和严重违法失信企业管理。按照“谁处罚、谁公示，谁列入、谁修复”原则，做好行政处罚、经营异常名录、严重违法失信名单等信息公示及信用修复管理工作。</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司法局、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11.强化重点监管。</w:t>
      </w:r>
      <w:r>
        <w:rPr>
          <w:rFonts w:hint="eastAsia" w:ascii="仿宋_GB2312" w:hAnsi="仿宋_GB2312" w:eastAsia="仿宋_GB2312" w:cs="仿宋_GB2312"/>
          <w:sz w:val="32"/>
          <w:szCs w:val="32"/>
        </w:rPr>
        <w:t>对疫苗、食品药品、危险化学品、特种设备等涉及安全生产和人民身体健康、生命安全等事项实行全主体全链条严格监管。严格执行“谁审批（备案）、谁负责，谁主办、谁负责，谁主管、谁负责”要求，分级分类加强对公共安全活动和潜在风险大、社会风险高的重点领域安全监管。加强生态环境监管，持续开展排污许可证质量核查，构建固定污染源“</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证式”监管体系。</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应急局、</w:t>
      </w:r>
      <w:r>
        <w:rPr>
          <w:rFonts w:hint="eastAsia" w:ascii="楷体" w:hAnsi="楷体" w:eastAsia="楷体" w:cs="楷体"/>
          <w:b w:val="0"/>
          <w:bCs w:val="0"/>
          <w:sz w:val="32"/>
          <w:szCs w:val="32"/>
          <w:lang w:eastAsia="zh-CN"/>
        </w:rPr>
        <w:t>州</w:t>
      </w:r>
      <w:r>
        <w:rPr>
          <w:rFonts w:hint="eastAsia" w:ascii="楷体" w:hAnsi="楷体" w:eastAsia="楷体" w:cs="楷体"/>
          <w:b w:val="0"/>
          <w:bCs w:val="0"/>
          <w:sz w:val="32"/>
          <w:szCs w:val="32"/>
        </w:rPr>
        <w:t>生态环境局</w:t>
      </w:r>
      <w:r>
        <w:rPr>
          <w:rFonts w:hint="eastAsia" w:ascii="楷体" w:hAnsi="楷体" w:eastAsia="楷体" w:cs="楷体"/>
          <w:b w:val="0"/>
          <w:bCs w:val="0"/>
          <w:sz w:val="32"/>
          <w:szCs w:val="32"/>
          <w:lang w:eastAsia="zh-CN"/>
        </w:rPr>
        <w:t>临夏县分局；</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12.加强对新产业新业态包容审慎监管。</w:t>
      </w:r>
      <w:r>
        <w:rPr>
          <w:rFonts w:hint="eastAsia" w:ascii="仿宋_GB2312" w:hAnsi="仿宋_GB2312" w:eastAsia="仿宋_GB2312" w:cs="仿宋_GB2312"/>
          <w:sz w:val="32"/>
          <w:szCs w:val="32"/>
        </w:rPr>
        <w:t>实施包容免罚清单，推动构建包容审慎监管体系，统一行业执法标准和尺度。探索创新符合平台经济、产业数字化、新个体、微经济、共享经济等新经济特点的监管模式。及时跟进新产业新业态竞争行为监管，强化对电子数据的取证固证，有效防范和解决虚假宣传、侵权假冒、误导消费等问题。加强医师线上执业行为监管，推进线上监管平台建设，实现对互联网医疗服务事前审批和提醒、事中控制和预警、事后追溯和评价的全过程、全方位、全自动在线监测和管理</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司法局、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卫健</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；责任单位：各</w:t>
      </w:r>
      <w:r>
        <w:rPr>
          <w:rFonts w:hint="eastAsia" w:ascii="楷体" w:hAnsi="楷体" w:eastAsia="楷体" w:cs="楷体"/>
          <w:b w:val="0"/>
          <w:bCs w:val="0"/>
          <w:sz w:val="32"/>
          <w:szCs w:val="32"/>
          <w:lang w:eastAsia="zh-CN"/>
        </w:rPr>
        <w:t>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直有关</w:t>
      </w:r>
      <w:r>
        <w:rPr>
          <w:rFonts w:hint="eastAsia" w:ascii="楷体" w:hAnsi="楷体" w:eastAsia="楷体" w:cs="楷体"/>
          <w:b w:val="0"/>
          <w:bCs w:val="0"/>
          <w:sz w:val="32"/>
          <w:szCs w:val="32"/>
          <w:lang w:eastAsia="zh-CN"/>
        </w:rPr>
        <w:t>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维护公平竞争市场秩序。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i w:val="0"/>
          <w:iCs w:val="0"/>
          <w:sz w:val="32"/>
          <w:szCs w:val="32"/>
        </w:rPr>
      </w:pPr>
      <w:r>
        <w:rPr>
          <w:rFonts w:hint="eastAsia" w:ascii="仿宋_GB2312" w:hAnsi="仿宋_GB2312" w:eastAsia="仿宋_GB2312" w:cs="仿宋_GB2312"/>
          <w:b/>
          <w:bCs/>
          <w:sz w:val="32"/>
          <w:szCs w:val="32"/>
        </w:rPr>
        <w:t>13.加大公平竞争审查监督力度。</w:t>
      </w:r>
      <w:r>
        <w:rPr>
          <w:rFonts w:hint="eastAsia" w:ascii="仿宋_GB2312" w:hAnsi="仿宋_GB2312" w:eastAsia="仿宋_GB2312" w:cs="仿宋_GB2312"/>
          <w:sz w:val="32"/>
          <w:szCs w:val="32"/>
        </w:rPr>
        <w:t>充分运用督查考核等工作措施，强化公平竞争审查刚性约束，做到增量政策应审尽审。根据省上安排组织开展清理妨碍统一市场和</w:t>
      </w:r>
      <w:r>
        <w:rPr>
          <w:rFonts w:hint="eastAsia" w:ascii="仿宋_GB2312" w:hAnsi="仿宋_GB2312" w:eastAsia="仿宋_GB2312" w:cs="仿宋_GB2312"/>
          <w:sz w:val="32"/>
          <w:szCs w:val="32"/>
          <w:lang w:eastAsia="zh-CN"/>
        </w:rPr>
        <w:t>公平竞争</w:t>
      </w:r>
      <w:r>
        <w:rPr>
          <w:rFonts w:hint="eastAsia" w:ascii="仿宋_GB2312" w:hAnsi="仿宋_GB2312" w:eastAsia="仿宋_GB2312" w:cs="仿宋_GB2312"/>
          <w:sz w:val="32"/>
          <w:szCs w:val="32"/>
        </w:rPr>
        <w:t>的各种规定和做法，建立健全违背市场准入负面清单案例归集、通报制度畅通隐性壁垒</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渠道。</w:t>
      </w:r>
      <w:r>
        <w:rPr>
          <w:rFonts w:hint="eastAsia" w:ascii="楷体" w:hAnsi="楷体" w:eastAsia="楷体" w:cs="楷体"/>
          <w:b w:val="0"/>
          <w:bCs w:val="0"/>
          <w:i w:val="0"/>
          <w:iCs w:val="0"/>
          <w:sz w:val="32"/>
          <w:szCs w:val="32"/>
        </w:rPr>
        <w:t>（牵头单位：</w:t>
      </w:r>
      <w:r>
        <w:rPr>
          <w:rFonts w:hint="eastAsia" w:ascii="楷体" w:hAnsi="楷体" w:eastAsia="楷体" w:cs="楷体"/>
          <w:b w:val="0"/>
          <w:bCs w:val="0"/>
          <w:i w:val="0"/>
          <w:iCs w:val="0"/>
          <w:sz w:val="32"/>
          <w:szCs w:val="32"/>
          <w:lang w:eastAsia="zh-CN"/>
        </w:rPr>
        <w:t>县</w:t>
      </w:r>
      <w:r>
        <w:rPr>
          <w:rFonts w:hint="eastAsia" w:ascii="楷体" w:hAnsi="楷体" w:eastAsia="楷体" w:cs="楷体"/>
          <w:b w:val="0"/>
          <w:bCs w:val="0"/>
          <w:i w:val="0"/>
          <w:iCs w:val="0"/>
          <w:sz w:val="32"/>
          <w:szCs w:val="32"/>
        </w:rPr>
        <w:t>市场监管局、</w:t>
      </w:r>
      <w:r>
        <w:rPr>
          <w:rFonts w:hint="eastAsia" w:ascii="楷体" w:hAnsi="楷体" w:eastAsia="楷体" w:cs="楷体"/>
          <w:b w:val="0"/>
          <w:bCs w:val="0"/>
          <w:i w:val="0"/>
          <w:iCs w:val="0"/>
          <w:sz w:val="32"/>
          <w:szCs w:val="32"/>
          <w:lang w:eastAsia="zh-CN"/>
        </w:rPr>
        <w:t>县</w:t>
      </w:r>
      <w:r>
        <w:rPr>
          <w:rFonts w:hint="eastAsia" w:ascii="楷体" w:hAnsi="楷体" w:eastAsia="楷体" w:cs="楷体"/>
          <w:b w:val="0"/>
          <w:bCs w:val="0"/>
          <w:i w:val="0"/>
          <w:iCs w:val="0"/>
          <w:sz w:val="32"/>
          <w:szCs w:val="32"/>
        </w:rPr>
        <w:t>发改</w:t>
      </w:r>
      <w:r>
        <w:rPr>
          <w:rFonts w:hint="eastAsia" w:ascii="楷体" w:hAnsi="楷体" w:eastAsia="楷体" w:cs="楷体"/>
          <w:b w:val="0"/>
          <w:bCs w:val="0"/>
          <w:i w:val="0"/>
          <w:iCs w:val="0"/>
          <w:sz w:val="32"/>
          <w:szCs w:val="32"/>
          <w:lang w:eastAsia="zh-CN"/>
        </w:rPr>
        <w:t>局；</w:t>
      </w:r>
      <w:r>
        <w:rPr>
          <w:rFonts w:hint="eastAsia" w:ascii="楷体" w:hAnsi="楷体" w:eastAsia="楷体" w:cs="楷体"/>
          <w:b w:val="0"/>
          <w:bCs w:val="0"/>
          <w:i w:val="0"/>
          <w:iCs w:val="0"/>
          <w:sz w:val="32"/>
          <w:szCs w:val="32"/>
        </w:rPr>
        <w:t>责任单位：各</w:t>
      </w:r>
      <w:r>
        <w:rPr>
          <w:rFonts w:hint="eastAsia" w:ascii="楷体" w:hAnsi="楷体" w:eastAsia="楷体" w:cs="楷体"/>
          <w:b w:val="0"/>
          <w:bCs w:val="0"/>
          <w:i w:val="0"/>
          <w:iCs w:val="0"/>
          <w:sz w:val="32"/>
          <w:szCs w:val="32"/>
          <w:lang w:eastAsia="zh-CN"/>
        </w:rPr>
        <w:t>乡镇</w:t>
      </w:r>
      <w:r>
        <w:rPr>
          <w:rFonts w:hint="eastAsia" w:ascii="楷体" w:hAnsi="楷体" w:eastAsia="楷体" w:cs="楷体"/>
          <w:b w:val="0"/>
          <w:bCs w:val="0"/>
          <w:i w:val="0"/>
          <w:iCs w:val="0"/>
          <w:sz w:val="32"/>
          <w:szCs w:val="32"/>
        </w:rPr>
        <w:t>，</w:t>
      </w:r>
      <w:r>
        <w:rPr>
          <w:rFonts w:hint="eastAsia" w:ascii="楷体" w:hAnsi="楷体" w:eastAsia="楷体" w:cs="楷体"/>
          <w:b w:val="0"/>
          <w:bCs w:val="0"/>
          <w:i w:val="0"/>
          <w:iCs w:val="0"/>
          <w:sz w:val="32"/>
          <w:szCs w:val="32"/>
          <w:lang w:eastAsia="zh-CN"/>
        </w:rPr>
        <w:t>县</w:t>
      </w:r>
      <w:r>
        <w:rPr>
          <w:rFonts w:hint="eastAsia" w:ascii="楷体" w:hAnsi="楷体" w:eastAsia="楷体" w:cs="楷体"/>
          <w:b w:val="0"/>
          <w:bCs w:val="0"/>
          <w:i w:val="0"/>
          <w:iCs w:val="0"/>
          <w:sz w:val="32"/>
          <w:szCs w:val="32"/>
        </w:rPr>
        <w:t>直有关</w:t>
      </w:r>
      <w:r>
        <w:rPr>
          <w:rFonts w:hint="eastAsia" w:ascii="楷体" w:hAnsi="楷体" w:eastAsia="楷体" w:cs="楷体"/>
          <w:b w:val="0"/>
          <w:bCs w:val="0"/>
          <w:i w:val="0"/>
          <w:iCs w:val="0"/>
          <w:sz w:val="32"/>
          <w:szCs w:val="32"/>
          <w:lang w:eastAsia="zh-CN"/>
        </w:rPr>
        <w:t>单位</w:t>
      </w:r>
      <w:r>
        <w:rPr>
          <w:rFonts w:hint="eastAsia" w:ascii="楷体" w:hAnsi="楷体" w:eastAsia="楷体" w:cs="楷体"/>
          <w:b w:val="0"/>
          <w:bCs w:val="0"/>
          <w:i w:val="0"/>
          <w:iCs w:val="0"/>
          <w:sz w:val="32"/>
          <w:szCs w:val="32"/>
        </w:rPr>
        <w:t>，省</w:t>
      </w:r>
      <w:r>
        <w:rPr>
          <w:rFonts w:hint="eastAsia" w:ascii="楷体" w:hAnsi="楷体" w:eastAsia="楷体" w:cs="楷体"/>
          <w:b w:val="0"/>
          <w:bCs w:val="0"/>
          <w:i w:val="0"/>
          <w:iCs w:val="0"/>
          <w:sz w:val="32"/>
          <w:szCs w:val="32"/>
          <w:lang w:eastAsia="zh-CN"/>
        </w:rPr>
        <w:t>州驻县</w:t>
      </w:r>
      <w:r>
        <w:rPr>
          <w:rFonts w:hint="eastAsia" w:ascii="楷体" w:hAnsi="楷体" w:eastAsia="楷体" w:cs="楷体"/>
          <w:b w:val="0"/>
          <w:bCs w:val="0"/>
          <w:i w:val="0"/>
          <w:iCs w:val="0"/>
          <w:sz w:val="32"/>
          <w:szCs w:val="32"/>
        </w:rPr>
        <w:t>有关单位</w:t>
      </w:r>
      <w:r>
        <w:rPr>
          <w:rFonts w:hint="eastAsia" w:ascii="楷体" w:hAnsi="楷体" w:eastAsia="楷体" w:cs="楷体"/>
          <w:b w:val="0"/>
          <w:bCs w:val="0"/>
          <w:i w:val="0"/>
          <w:i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14.加强反垄断与反不正当竞争执法。</w:t>
      </w:r>
      <w:r>
        <w:rPr>
          <w:rFonts w:hint="eastAsia" w:ascii="仿宋_GB2312" w:hAnsi="仿宋_GB2312" w:eastAsia="仿宋_GB2312" w:cs="仿宋_GB2312"/>
          <w:sz w:val="32"/>
          <w:szCs w:val="32"/>
        </w:rPr>
        <w:t>依法查处企业低价倾销、价格欺诈等危害市场秩序和人民权益违法行为，加大对仿冒混淆、虚假宣传、商业诋毁等不正当竞争行为的监管执法力度。围绕医药、公用事业、建材、教育培训等重点民生领域开展反垄断执法，切实维护市场公平竞争秩序。主动引导企业合规经营，促进平台经济规范健康发展。</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三、加快政务服务标准化规范化便利化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推进政务服务运行标准化。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15.进一步明确政务服务事项范围。</w:t>
      </w:r>
      <w:r>
        <w:rPr>
          <w:rFonts w:hint="eastAsia" w:ascii="仿宋_GB2312" w:hAnsi="仿宋_GB2312" w:eastAsia="仿宋_GB2312" w:cs="仿宋_GB2312"/>
          <w:sz w:val="32"/>
          <w:szCs w:val="32"/>
        </w:rPr>
        <w:t>结合工作实际，及时承接、更新国家和省级政务服务事项基本目录，依法依规梳理自行设立的政务服务事项，编制地方政务服务事项基本目录，加强对政务服务事项基本目录及其要素信息的合法性，完整度、准确性、规范性审核。</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16.加强政务服务事项动态管理。</w:t>
      </w:r>
      <w:r>
        <w:rPr>
          <w:rFonts w:hint="eastAsia" w:ascii="仿宋_GB2312" w:hAnsi="仿宋_GB2312" w:eastAsia="仿宋_GB2312" w:cs="仿宋_GB2312"/>
          <w:sz w:val="32"/>
          <w:szCs w:val="32"/>
        </w:rPr>
        <w:t>依据政务服务事项基本目录，认真编制政务服务事项实施清单并及时动态调整。持续推进政务服务事项实施清单的受理条件、办理流程、申请材料、承诺办结时限、跑动次数等基础和关键要素在省、州、县、乡“四级46同”，确保同一事项同要素管理、同标准办理。</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推进政务服务供给规范化。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17.深化“一窗受理、综合服务”。</w:t>
      </w:r>
      <w:r>
        <w:rPr>
          <w:rFonts w:hint="eastAsia" w:ascii="仿宋_GB2312" w:hAnsi="仿宋_GB2312" w:eastAsia="仿宋_GB2312" w:cs="仿宋_GB2312"/>
          <w:sz w:val="32"/>
          <w:szCs w:val="32"/>
        </w:rPr>
        <w:t>巩固提升政务服务中心“一站式”功能。规范政务服务场所设立，各级政务服务中心综合窗口设置全覆盖，实现“一窗受理、综合服务”。设置帮办代办窗口、“办不成事”反映窗口，为特殊群体提供帮办代办服务，解决企业和群众办事中的疑难问题。推进供水、供电、供气、供暖、通信、公证、金融服务等与企业群众生产生活密切相关的服务事项进驻政务服务中心和政务服务平台，实现“一站式”便捷服务。加强政务服务场所安全管理，提高防范和应急处置能力。</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18.全面提升“一网通办”能力。</w:t>
      </w:r>
      <w:r>
        <w:rPr>
          <w:rFonts w:hint="eastAsia" w:ascii="仿宋_GB2312" w:hAnsi="仿宋_GB2312" w:eastAsia="仿宋_GB2312" w:cs="仿宋_GB2312"/>
          <w:sz w:val="32"/>
          <w:szCs w:val="32"/>
        </w:rPr>
        <w:t>加强全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一体化政务服务平台运行管理，推动全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范围内政务服务事项办理做到标准统一、整体联动、业务协同，除法律法规另有规定或涉及国家秘密外，政务服务事项全部纳入平台办理，进一步增强“一网通办”服务能力。</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19.推进政务服务线上线下融合发展。</w:t>
      </w:r>
      <w:r>
        <w:rPr>
          <w:rFonts w:hint="eastAsia" w:ascii="仿宋_GB2312" w:hAnsi="仿宋_GB2312" w:eastAsia="仿宋_GB2312" w:cs="仿宋_GB2312"/>
          <w:sz w:val="32"/>
          <w:szCs w:val="32"/>
        </w:rPr>
        <w:t>协同推进政务服务中心，便民服务中心，便民服务站与全省一体化政务服务平台建设，对已实现线上办理的政务服务事项，原则上同步提供线下窗口办</w:t>
      </w:r>
      <w:r>
        <w:rPr>
          <w:rFonts w:hint="eastAsia" w:ascii="仿宋_GB2312" w:hAnsi="仿宋_GB2312" w:eastAsia="仿宋_GB2312" w:cs="仿宋_GB2312"/>
          <w:sz w:val="32"/>
          <w:szCs w:val="32"/>
          <w:lang w:eastAsia="zh-CN"/>
        </w:rPr>
        <w:t>事服务，由企业和群众自主选择办事渠道。申请人线下办理业务时</w:t>
      </w:r>
      <w:r>
        <w:rPr>
          <w:rFonts w:hint="eastAsia" w:ascii="仿宋_GB2312" w:hAnsi="仿宋_GB2312" w:eastAsia="仿宋_GB2312" w:cs="仿宋_GB2312"/>
          <w:sz w:val="32"/>
          <w:szCs w:val="32"/>
        </w:rPr>
        <w:t>，不得强制要求其先到线上预约或在线提交材料。已在线收取申请材料或通过部门间共享能够获取规范化电子材料的，不再要求申请人提交纸质材料。推进政务服务事项线上线下无差别受理、同标准办理。</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大数据中心；责任单位：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20.规范政务服务评估评价。</w:t>
      </w:r>
      <w:r>
        <w:rPr>
          <w:rFonts w:hint="eastAsia" w:ascii="仿宋_GB2312" w:hAnsi="仿宋_GB2312" w:eastAsia="仿宋_GB2312" w:cs="仿宋_GB2312"/>
          <w:sz w:val="32"/>
          <w:szCs w:val="32"/>
        </w:rPr>
        <w:t>落实政务服务“好差评”制度，推动各级政务服务机构、各类政务服务平台、政务服务便民热线全面开展“好差评”工作。建立健全一体化政务服务平台“好差评”管理体系，形成评价、整改、反馈、监督全流程衔接的政务服务评价机制。建立健全督查考核机制，规范政务服务满意度测评和跟踪评估，更好发挥社会监督作用，及时回应社会关切。</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推进企业和群众办事便利化。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21.推进“掌上办”。</w:t>
      </w:r>
      <w:r>
        <w:rPr>
          <w:rFonts w:hint="eastAsia" w:ascii="仿宋_GB2312" w:hAnsi="仿宋_GB2312" w:eastAsia="仿宋_GB2312" w:cs="仿宋_GB2312"/>
          <w:sz w:val="32"/>
          <w:szCs w:val="32"/>
        </w:rPr>
        <w:t>将“甘快办”APP作为全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移动端政务服务总枢纽，推广应用“甘快办”APP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让政务服务“掌上办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更规范、更智能、更高效。</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内自建系统逐步接入全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统一身份认证体系，利用人脸识别、指纹识别、文字识别等身份核验方式，实现一次登录、全网通办，实现一部手机一个账号安全、便捷查询办理身边事。积极拓展便民服务应用，推动实现医疗就诊、公共交通、水电气热、通信等与群众日常生活密切相关的缴费、查询类便民服务应用接入“甘快办”平台。大力推广“扫码亮证”服务，在户政、社保、住房、医疗等相关事项办理中推广“扫码亮证”服务，着力</w:t>
      </w:r>
      <w:r>
        <w:rPr>
          <w:rFonts w:hint="eastAsia" w:ascii="仿宋_GB2312" w:hAnsi="仿宋_GB2312" w:eastAsia="仿宋_GB2312" w:cs="仿宋_GB2312"/>
          <w:sz w:val="32"/>
          <w:szCs w:val="32"/>
          <w:lang w:eastAsia="zh-CN"/>
        </w:rPr>
        <w:t>打</w:t>
      </w:r>
      <w:r>
        <w:rPr>
          <w:rFonts w:hint="eastAsia" w:ascii="仿宋_GB2312" w:hAnsi="仿宋_GB2312" w:eastAsia="仿宋_GB2312" w:cs="仿宋_GB2312"/>
          <w:sz w:val="32"/>
          <w:szCs w:val="32"/>
        </w:rPr>
        <w:t>造实名认证、实人核验、实证共享的服务模式。</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22.推进“集成办”。</w:t>
      </w:r>
      <w:r>
        <w:rPr>
          <w:rFonts w:hint="eastAsia" w:ascii="仿宋_GB2312" w:hAnsi="仿宋_GB2312" w:eastAsia="仿宋_GB2312" w:cs="仿宋_GB2312"/>
          <w:sz w:val="32"/>
          <w:szCs w:val="32"/>
        </w:rPr>
        <w:t>持续抓好《甘肃省人民政府办公厅关于加快推进“一件事一次办”打造政务服务升级版的通知》的落实，推动更多政务服务事项实现“一件事一次办”。进一步减跑动、减时限、减材料，优化办事流程，推行“一表申请”“一次告知”，实现“一窗受理”“一网办理”，线上线下同一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同一流程、同质服务。加快政务服务平台“一件事一次办”事项办理系统建设，推动</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级自建政务服务系统与政务服务平台深度对接，打通业务系统、强化数据共享、加强电子证照应用，实现“一件事一次办”跨部门、跨层级线上申办、自助申办。在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政务服务中心提供企业开办、项目投资、金融服务、不动产登记等领域主题式集成服务，实现更多事项“最多跑一次”。</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住建局、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自然资源局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23.深化“异地办”。</w:t>
      </w:r>
      <w:r>
        <w:rPr>
          <w:rFonts w:hint="eastAsia" w:ascii="仿宋_GB2312" w:hAnsi="仿宋_GB2312" w:eastAsia="仿宋_GB2312" w:cs="仿宋_GB2312"/>
          <w:sz w:val="32"/>
          <w:szCs w:val="32"/>
        </w:rPr>
        <w:t>推进高频政务服务事项异地通办。推动“省内通办”“跨省通办”事项清单全面落地，实现省内同</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事项无差别受理、同标准办理。加快</w:t>
      </w:r>
      <w:r>
        <w:rPr>
          <w:rFonts w:hint="eastAsia" w:ascii="仿宋_GB2312" w:hAnsi="仿宋_GB2312" w:eastAsia="仿宋_GB2312" w:cs="仿宋_GB2312"/>
          <w:sz w:val="32"/>
          <w:szCs w:val="32"/>
          <w:lang w:eastAsia="zh-CN"/>
        </w:rPr>
        <w:t>县内</w:t>
      </w:r>
      <w:r>
        <w:rPr>
          <w:rFonts w:hint="eastAsia" w:ascii="仿宋_GB2312" w:hAnsi="仿宋_GB2312" w:eastAsia="仿宋_GB2312" w:cs="仿宋_GB2312"/>
          <w:sz w:val="32"/>
          <w:szCs w:val="32"/>
        </w:rPr>
        <w:t>电子证照汇聚，线上加强政务数据跨区域共享和电子证照互认互信，线下提升政务服务中心导办帮办能力，设置“省内通办”“跨省通办”专窗，为企业群众提供异地办事服务，推动更多高频政务服务事项实现“跨省通办”“省内通办”“州内通办”。</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sz w:val="32"/>
          <w:szCs w:val="32"/>
        </w:rPr>
      </w:pPr>
      <w:r>
        <w:rPr>
          <w:rFonts w:hint="eastAsia" w:ascii="仿宋_GB2312" w:hAnsi="仿宋_GB2312" w:eastAsia="仿宋_GB2312" w:cs="仿宋_GB2312"/>
          <w:b/>
          <w:bCs/>
          <w:sz w:val="32"/>
          <w:szCs w:val="32"/>
        </w:rPr>
        <w:t>24.推进“就近办”。</w:t>
      </w:r>
      <w:r>
        <w:rPr>
          <w:rFonts w:hint="eastAsia" w:ascii="仿宋_GB2312" w:hAnsi="仿宋_GB2312" w:eastAsia="仿宋_GB2312" w:cs="仿宋_GB2312"/>
          <w:sz w:val="32"/>
          <w:szCs w:val="32"/>
        </w:rPr>
        <w:t>着力打造纵向贯通、横向联结、线上线下融合的基层政务服务体系，丰富完善乡镇、村（社区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群中心自助服务终端，推动政务服务窗口和一体化政务服务平台向下延伸，方便群众就近办理高频政务服务事项。畅通政务服务渠道，深化与金融机构合作，将更多甘肃政务服务网热门应用延伸至银行网点，方便企业和群众在银行网点就近办事，真正打通政务服务“最后一公里”。</w:t>
      </w:r>
      <w:r>
        <w:rPr>
          <w:rFonts w:hint="eastAsia" w:ascii="楷体" w:hAnsi="楷体" w:eastAsia="楷体" w:cs="楷体"/>
          <w:sz w:val="32"/>
          <w:szCs w:val="32"/>
        </w:rPr>
        <w:t>（责任单位：</w:t>
      </w:r>
      <w:r>
        <w:rPr>
          <w:rFonts w:hint="eastAsia" w:ascii="楷体" w:hAnsi="楷体" w:eastAsia="楷体" w:cs="楷体"/>
          <w:sz w:val="32"/>
          <w:szCs w:val="32"/>
          <w:lang w:eastAsia="zh-CN"/>
        </w:rPr>
        <w:t>各乡镇</w:t>
      </w:r>
      <w:r>
        <w:rPr>
          <w:rFonts w:hint="eastAsia" w:ascii="楷体" w:hAnsi="楷体" w:eastAsia="楷体" w:cs="楷体"/>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25.深入推行“不来即享”。</w:t>
      </w:r>
      <w:r>
        <w:rPr>
          <w:rFonts w:hint="eastAsia" w:ascii="仿宋_GB2312" w:hAnsi="仿宋_GB2312" w:eastAsia="仿宋_GB2312" w:cs="仿宋_GB2312"/>
          <w:sz w:val="32"/>
          <w:szCs w:val="32"/>
        </w:rPr>
        <w:t>持续推进减税降费、科技奖补资金、涉企公积金、就业补助等惠企政策实现精准推送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在线办理。进一步梳理行政给付、资金补贴扶持等政策服务清单，结合区域实际，重点打造产业补贴政策、医疗救助、征地养老人员医疗费报销等“不来即享”服务，实现被动服务向主动服务转变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精准推送向精准兑现转变</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工信局：责任单位：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26.提升12345热线“一号响应”能力。</w:t>
      </w:r>
      <w:r>
        <w:rPr>
          <w:rFonts w:hint="eastAsia" w:ascii="仿宋_GB2312" w:hAnsi="仿宋_GB2312" w:eastAsia="仿宋_GB2312" w:cs="仿宋_GB2312"/>
          <w:sz w:val="32"/>
          <w:szCs w:val="32"/>
        </w:rPr>
        <w:t>实现12345热线与110平台互联互通、相关数据资源共享，不断提升对接联动工作规范化、专业化、智能化水平。严格规范流程，明确专人24小时及时转办处理工单，坚持第一时间派件、第一时间处理、第一</w:t>
      </w:r>
      <w:r>
        <w:rPr>
          <w:rFonts w:hint="eastAsia" w:ascii="仿宋_GB2312" w:hAnsi="仿宋_GB2312" w:eastAsia="仿宋_GB2312" w:cs="仿宋_GB2312"/>
          <w:sz w:val="32"/>
          <w:szCs w:val="32"/>
          <w:lang w:eastAsia="zh-CN"/>
        </w:rPr>
        <w:t>时间</w:t>
      </w:r>
      <w:r>
        <w:rPr>
          <w:rFonts w:hint="eastAsia" w:ascii="仿宋_GB2312" w:hAnsi="仿宋_GB2312" w:eastAsia="仿宋_GB2312" w:cs="仿宋_GB2312"/>
          <w:sz w:val="32"/>
          <w:szCs w:val="32"/>
        </w:rPr>
        <w:t>回复，切实提高办理效率。对热线反映集中的问题加强研判，建立举一反三长效机制，力求通过一个诉求解决一类问题。加强跟踪反馈，定期对12345热线工单承办量、办结率、满意率进行</w:t>
      </w:r>
      <w:r>
        <w:rPr>
          <w:rFonts w:hint="eastAsia" w:ascii="仿宋_GB2312" w:hAnsi="仿宋_GB2312" w:eastAsia="仿宋_GB2312" w:cs="仿宋_GB2312"/>
          <w:sz w:val="32"/>
          <w:szCs w:val="32"/>
          <w:lang w:eastAsia="zh-CN"/>
        </w:rPr>
        <w:t>梳理</w:t>
      </w:r>
      <w:r>
        <w:rPr>
          <w:rFonts w:hint="eastAsia" w:ascii="仿宋_GB2312" w:hAnsi="仿宋_GB2312" w:eastAsia="仿宋_GB2312" w:cs="仿宋_GB2312"/>
          <w:sz w:val="32"/>
          <w:szCs w:val="32"/>
        </w:rPr>
        <w:t>汇总，确保企业和群众所反映问题得到及时有效处理。</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四、持续推进数字政府建设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楷体" w:cs="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完盖数字政府规划设计</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27.强化规划执行。</w:t>
      </w:r>
      <w:r>
        <w:rPr>
          <w:rFonts w:hint="eastAsia" w:ascii="仿宋_GB2312" w:hAnsi="仿宋_GB2312" w:eastAsia="仿宋_GB2312" w:cs="仿宋_GB2312"/>
          <w:sz w:val="32"/>
          <w:szCs w:val="32"/>
        </w:rPr>
        <w:t>认真贯彻落实《甘肃省统筹推进数字化发展行动计划》，以数字政府建设全面引领驱动临夏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数字化发展。</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28.强化制度保障。</w:t>
      </w:r>
      <w:r>
        <w:rPr>
          <w:rFonts w:hint="eastAsia" w:ascii="仿宋_GB2312" w:hAnsi="仿宋_GB2312" w:eastAsia="仿宋_GB2312" w:cs="仿宋_GB2312"/>
          <w:sz w:val="32"/>
          <w:szCs w:val="32"/>
        </w:rPr>
        <w:t>梳理制定临夏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数字政府建设数据共享、政务云管理等制度机制和标准规范，制定出台相关机制办法，以制度化手段确保数字政府建设各环节工作规范有序、安全可靠推进。</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强化“互联网+政务服务”技术支撑。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29.加快数字政府基础网络建设</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全面完成电子政务外网“</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网双平面”改造工作，将部署在电子政务专网的政务信息系统逐步迁移至电子政务外网。</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30.提升一体化政务服务平台支撑能力。</w:t>
      </w:r>
      <w:r>
        <w:rPr>
          <w:rFonts w:hint="eastAsia" w:ascii="仿宋_GB2312" w:hAnsi="仿宋_GB2312" w:eastAsia="仿宋_GB2312" w:cs="仿宋_GB2312"/>
          <w:sz w:val="32"/>
          <w:szCs w:val="32"/>
        </w:rPr>
        <w:t>依托甘肃政务服务网、“甘快办”APP、政务服务中心（便民服务站点）、自助终端机等全面推进政务服务一体化、公共支撑一体化、综合保障</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体化，在PC端、移动端、自助服务终端等形成</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rPr>
        <w:t>州统一的“互联网+政务服务”入口，持续推进我</w:t>
      </w:r>
      <w:r>
        <w:rPr>
          <w:rFonts w:hint="eastAsia" w:ascii="仿宋_GB2312" w:hAnsi="仿宋_GB2312" w:eastAsia="仿宋_GB2312" w:cs="仿宋_GB2312"/>
          <w:sz w:val="32"/>
          <w:szCs w:val="32"/>
          <w:lang w:eastAsia="zh-CN"/>
        </w:rPr>
        <w:t>州</w:t>
      </w:r>
      <w:r>
        <w:rPr>
          <w:rFonts w:hint="eastAsia" w:ascii="仿宋_GB2312" w:hAnsi="仿宋_GB2312" w:eastAsia="仿宋_GB2312" w:cs="仿宋_GB2312"/>
          <w:sz w:val="32"/>
          <w:szCs w:val="32"/>
        </w:rPr>
        <w:t>自建系统与省级平台身份认证、事项管理、电子证照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好差评等系统功能的深度融合，推动各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政务服务平台与</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级政务服务平台应接尽接、政务服务事项应上尽上。推动电子证照、电子签章、电子表单等共性支撑扩大应用和互通互认，扩展政务数据互联共享、业务协同联动。</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31.推进政务数据共享应用。</w:t>
      </w:r>
      <w:r>
        <w:rPr>
          <w:rFonts w:hint="eastAsia" w:ascii="仿宋_GB2312" w:hAnsi="仿宋_GB2312" w:eastAsia="仿宋_GB2312" w:cs="仿宋_GB2312"/>
          <w:sz w:val="32"/>
          <w:szCs w:val="32"/>
        </w:rPr>
        <w:t>持续推进临夏</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政务数据目录全量梳理、资源挂接、数据汇聚等工作，不断丰富我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数据共享交换平台数据资源，实现跨地区、跨部门、跨层级、跨系统的政务数据资源互联互通、可靠交换和安全共享。</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大数据中心；责任单位：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32.推进电子证照免提交应用。</w:t>
      </w:r>
      <w:r>
        <w:rPr>
          <w:rFonts w:hint="eastAsia" w:ascii="仿宋_GB2312" w:hAnsi="仿宋_GB2312" w:eastAsia="仿宋_GB2312" w:cs="仿宋_GB2312"/>
          <w:sz w:val="32"/>
          <w:szCs w:val="32"/>
        </w:rPr>
        <w:t>加快推进电子证照扩大应用领域和全省互通互认，全面实现涉企证照电子化。依托一体化政务服务平台和“甘快办”政务APP</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在准入准营、项目申报、招标投标、政府采购等领域，探索推行在线身份认证、电子证照应用，推动我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更多事项办理纸质证照“免提交”、申请表单免填写，实现“一证（照）通办”“零材料”办理。</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政府办公室</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大数据</w:t>
      </w:r>
      <w:r>
        <w:rPr>
          <w:rFonts w:hint="eastAsia" w:ascii="楷体" w:hAnsi="楷体" w:eastAsia="楷体" w:cs="楷体"/>
          <w:b w:val="0"/>
          <w:bCs w:val="0"/>
          <w:sz w:val="32"/>
          <w:szCs w:val="32"/>
          <w:lang w:eastAsia="zh-CN"/>
        </w:rPr>
        <w:t>中心）；</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各乡镇</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五、着力优化政务服务环境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33.强化重大项目帮办代办。</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政务服务中心强化对重大项目和招商引资重大项目的帮办代办服务，推行“温馨窗口+专业团队”的管家式服务，突出精准高效，推动重大项目尽快尽早落地。</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招商局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34.强化企业开办服务。</w:t>
      </w:r>
      <w:r>
        <w:rPr>
          <w:rFonts w:hint="eastAsia" w:ascii="仿宋_GB2312" w:hAnsi="仿宋_GB2312" w:eastAsia="仿宋_GB2312" w:cs="仿宋_GB2312"/>
          <w:sz w:val="32"/>
          <w:szCs w:val="32"/>
        </w:rPr>
        <w:t>推动企业开办全流程“一件事一次办”，企业开办事项实行一表采集、一次性提交，将全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企业开办全流程办理时限压减至1个工作日。</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市场监管局；责任单位：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35.纵深推进投资项目审批制度改革。</w:t>
      </w:r>
      <w:r>
        <w:rPr>
          <w:rFonts w:hint="eastAsia" w:ascii="仿宋_GB2312" w:hAnsi="仿宋_GB2312" w:eastAsia="仿宋_GB2312" w:cs="仿宋_GB2312"/>
          <w:sz w:val="32"/>
          <w:szCs w:val="32"/>
        </w:rPr>
        <w:t>强化投资项目审批事项清单管理，严控新增或变相增设审批环节。提升甘肃投资项目在线审批监管平台应用水平，加大事项整合和流程再造，实现投资审批事项线上并联办理、企业投资项目备案即时办理、“一网通办”。加快推进以“告知承诺+事中事后监管”为核心的企业投资项目承诺制改革。</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rPr>
        <w:t>36.强化工程建设项目审批服务。</w:t>
      </w:r>
      <w:r>
        <w:rPr>
          <w:rFonts w:hint="eastAsia" w:ascii="仿宋_GB2312" w:hAnsi="仿宋_GB2312" w:eastAsia="仿宋_GB2312" w:cs="仿宋_GB2312"/>
          <w:sz w:val="32"/>
          <w:szCs w:val="32"/>
        </w:rPr>
        <w:t>进一步提升工程建设项目审批服务效能，推行“一套图纸”数字化管理、“不动产登记+市政公共服务”“水电气暖信”一站式报装，推行“用地清单制”“多段式”联合验收、“一枚印章管验收”“一个章子管挖占”等改革举措，工程建设项目全流程审批时限压减至60个工作日内，简易低风险项目全流程审批时限压缩至15个工作日以内。</w:t>
      </w:r>
      <w:r>
        <w:rPr>
          <w:rFonts w:hint="eastAsia" w:ascii="仿宋_GB2312" w:hAnsi="仿宋_GB2312" w:eastAsia="仿宋_GB2312" w:cs="仿宋_GB2312"/>
          <w:sz w:val="32"/>
          <w:szCs w:val="32"/>
          <w:lang w:eastAsia="zh-CN"/>
        </w:rPr>
        <w:t>（</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住建局、</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自然资源局；责任单位：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37</w:t>
      </w:r>
      <w:r>
        <w:rPr>
          <w:rFonts w:hint="eastAsia" w:ascii="仿宋_GB2312" w:hAnsi="仿宋_GB2312" w:eastAsia="仿宋_GB2312" w:cs="仿宋_GB2312"/>
          <w:b/>
          <w:bCs/>
          <w:sz w:val="32"/>
          <w:szCs w:val="32"/>
        </w:rPr>
        <w:t>.进一步优化不动产登记办理。</w:t>
      </w:r>
      <w:r>
        <w:rPr>
          <w:rFonts w:hint="eastAsia" w:ascii="仿宋_GB2312" w:hAnsi="仿宋_GB2312" w:eastAsia="仿宋_GB2312" w:cs="仿宋_GB2312"/>
          <w:sz w:val="32"/>
          <w:szCs w:val="32"/>
        </w:rPr>
        <w:t>强化信息共享和核验，推行不动产登记、交易监管、税收征缴线上“一网通办”和线下“</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窗受理、并行办理”，推动抵押权首次登记、抵押权注销登记、预售商品房买卖预告登记、预售商品房抵押权预告登记、商品房转移登记、不动产登记信息查询等6项高频业务实现“互联网+不动产登记”。</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自然资源局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38</w:t>
      </w:r>
      <w:r>
        <w:rPr>
          <w:rFonts w:hint="eastAsia" w:ascii="仿宋_GB2312" w:hAnsi="仿宋_GB2312" w:eastAsia="仿宋_GB2312" w:cs="仿宋_GB2312"/>
          <w:b/>
          <w:bCs/>
          <w:sz w:val="32"/>
          <w:szCs w:val="32"/>
        </w:rPr>
        <w:t>.提高企业融资服务水平。</w:t>
      </w:r>
      <w:r>
        <w:rPr>
          <w:rFonts w:hint="eastAsia" w:ascii="仿宋_GB2312" w:hAnsi="仿宋_GB2312" w:eastAsia="仿宋_GB2312" w:cs="仿宋_GB2312"/>
          <w:sz w:val="32"/>
          <w:szCs w:val="32"/>
        </w:rPr>
        <w:t>完善对金融机构监管考核和激励机制，鼓励、引导银行业金融机构增加对民营企业、中小企业的信贷投放，合理增加中长期贷款和信用贷款支持，提高贷款审批效率。持续推动金融服务智能化，更好发挥“信易贷”“陇信通”等平台作用，推动政银企信息共享，逐步将财政、社保、税务等公共数据及各类信用信息依法依规纳入共享范围，提升金融服务便利化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知识产权质押融资风险分担机制和质物处理机制，鼓励银行业金融机构加强与融资担保机构的合作，创新金融产品和服务，加大对知识产权质押融资的金融支持力度。引导银行业金融机构建立健全适合科技创新型中小企业知识产权质押融资特点的授信制度。</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县财政局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发改</w:t>
      </w:r>
      <w:r>
        <w:rPr>
          <w:rFonts w:hint="eastAsia" w:ascii="楷体" w:hAnsi="楷体" w:eastAsia="楷体" w:cs="楷体"/>
          <w:b w:val="0"/>
          <w:bCs w:val="0"/>
          <w:sz w:val="32"/>
          <w:szCs w:val="32"/>
          <w:lang w:eastAsia="zh-CN"/>
        </w:rPr>
        <w:t>局；</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val="0"/>
          <w:bCs w:val="0"/>
          <w:sz w:val="32"/>
          <w:szCs w:val="32"/>
        </w:rPr>
      </w:pPr>
      <w:r>
        <w:rPr>
          <w:rFonts w:hint="eastAsia" w:ascii="仿宋_GB2312" w:hAnsi="仿宋_GB2312" w:eastAsia="仿宋_GB2312" w:cs="仿宋_GB2312"/>
          <w:b/>
          <w:bCs/>
          <w:sz w:val="32"/>
          <w:szCs w:val="32"/>
          <w:lang w:val="en-US" w:eastAsia="zh-CN"/>
        </w:rPr>
        <w:t>39</w:t>
      </w:r>
      <w:r>
        <w:rPr>
          <w:rFonts w:hint="eastAsia" w:ascii="仿宋_GB2312" w:hAnsi="仿宋_GB2312" w:eastAsia="仿宋_GB2312" w:cs="仿宋_GB2312"/>
          <w:b/>
          <w:bCs/>
          <w:sz w:val="32"/>
          <w:szCs w:val="32"/>
        </w:rPr>
        <w:t>.提升办税缴费便利化水平。</w:t>
      </w:r>
      <w:r>
        <w:rPr>
          <w:rFonts w:hint="eastAsia" w:ascii="仿宋_GB2312" w:hAnsi="仿宋_GB2312" w:eastAsia="仿宋_GB2312" w:cs="仿宋_GB2312"/>
          <w:sz w:val="32"/>
          <w:szCs w:val="32"/>
        </w:rPr>
        <w:t>简化变更登记操作流程，纳税人在市场监管部门依法办理变更登记后，无需向税务机关报告登记变更信息，税务机关根据市场监管部门共享的变更登记信息自动同步予以变更。推进全国车船税缴纳信息联网查询与核验，便利纳税人异地办理保险及缴税。对国家综合性消防救援车辆证明、公共汽电车辆认定表、专用车证、家庭成员信息证明、家庭唯一生活用房证明以及个体工商户的经营者身份证明、合伙企业合伙人的合伙身份证明等6项税务证明事项实行告知承诺制，纳税人可以自主选择是否适用告知承诺制办理。</w:t>
      </w:r>
      <w:r>
        <w:rPr>
          <w:rFonts w:hint="eastAsia" w:ascii="楷体" w:hAnsi="楷体" w:eastAsia="楷体" w:cs="楷体"/>
          <w:b w:val="0"/>
          <w:bCs w:val="0"/>
          <w:sz w:val="32"/>
          <w:szCs w:val="32"/>
        </w:rPr>
        <w:t>（牵头单位：</w:t>
      </w:r>
      <w:r>
        <w:rPr>
          <w:rFonts w:hint="eastAsia" w:ascii="楷体" w:hAnsi="楷体" w:eastAsia="楷体" w:cs="楷体"/>
          <w:b w:val="0"/>
          <w:bCs w:val="0"/>
          <w:sz w:val="32"/>
          <w:szCs w:val="32"/>
          <w:lang w:eastAsia="zh-CN"/>
        </w:rPr>
        <w:t>县</w:t>
      </w:r>
      <w:r>
        <w:rPr>
          <w:rFonts w:hint="eastAsia" w:ascii="楷体" w:hAnsi="楷体" w:eastAsia="楷体" w:cs="楷体"/>
          <w:b w:val="0"/>
          <w:bCs w:val="0"/>
          <w:sz w:val="32"/>
          <w:szCs w:val="32"/>
        </w:rPr>
        <w:t>税务局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责任单位：</w:t>
      </w:r>
      <w:r>
        <w:rPr>
          <w:rFonts w:hint="eastAsia" w:ascii="楷体" w:hAnsi="楷体" w:eastAsia="楷体" w:cs="楷体"/>
          <w:b w:val="0"/>
          <w:bCs w:val="0"/>
          <w:sz w:val="32"/>
          <w:szCs w:val="32"/>
          <w:lang w:eastAsia="zh-CN"/>
        </w:rPr>
        <w:t>县直有关单位</w:t>
      </w:r>
      <w:r>
        <w:rPr>
          <w:rFonts w:hint="eastAsia" w:ascii="楷体" w:hAnsi="楷体" w:eastAsia="楷体" w:cs="楷体"/>
          <w:b w:val="0"/>
          <w:bCs w:val="0"/>
          <w:sz w:val="32"/>
          <w:szCs w:val="32"/>
        </w:rPr>
        <w:t>，省</w:t>
      </w:r>
      <w:r>
        <w:rPr>
          <w:rFonts w:hint="eastAsia" w:ascii="楷体" w:hAnsi="楷体" w:eastAsia="楷体" w:cs="楷体"/>
          <w:b w:val="0"/>
          <w:bCs w:val="0"/>
          <w:sz w:val="32"/>
          <w:szCs w:val="32"/>
          <w:lang w:eastAsia="zh-CN"/>
        </w:rPr>
        <w:t>州驻县</w:t>
      </w:r>
      <w:r>
        <w:rPr>
          <w:rFonts w:hint="eastAsia" w:ascii="楷体" w:hAnsi="楷体" w:eastAsia="楷体" w:cs="楷体"/>
          <w:b w:val="0"/>
          <w:bCs w:val="0"/>
          <w:sz w:val="32"/>
          <w:szCs w:val="32"/>
        </w:rPr>
        <w:t>有关单位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靠实工作责任。</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认真落实“放管服”改革“一把手”责任，坚持高位强力推动；分管领导要研究吃透政策精神，找准“放管服”改革的结合点和切入点，齐心协力推进各项改革措施落实。要健全完善工作推进机制，配齐配强工作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每半年报告1次工作进展情况，</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日前形成年度报告报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鼓励改革创新。</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进一步增强改革的积极性、主动性和创造性，坚持问题导向、需求导向、效果导向，积极探索更多原创性、差异化的改革措施。要及时总结典型经验做法，通过加强培训交流、媒体宣传等形式，积极推广改革创新成果，每月至少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深化“放管服”改革推进政府职能转变领导小组办公室报送1篇典型经验材料。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加大宣传力度。</w:t>
      </w:r>
      <w:r>
        <w:rPr>
          <w:rFonts w:hint="eastAsia" w:ascii="仿宋_GB2312" w:hAnsi="仿宋_GB2312" w:eastAsia="仿宋_GB2312" w:cs="仿宋_GB2312"/>
          <w:sz w:val="32"/>
          <w:szCs w:val="32"/>
        </w:rPr>
        <w:t>加强与</w:t>
      </w:r>
      <w:r>
        <w:rPr>
          <w:rFonts w:hint="eastAsia" w:ascii="仿宋_GB2312" w:hAnsi="仿宋_GB2312" w:eastAsia="仿宋_GB2312" w:cs="仿宋_GB2312"/>
          <w:sz w:val="32"/>
          <w:szCs w:val="32"/>
          <w:lang w:eastAsia="zh-CN"/>
        </w:rPr>
        <w:t>省州</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内主流</w:t>
      </w:r>
      <w:r>
        <w:rPr>
          <w:rFonts w:hint="eastAsia" w:ascii="仿宋_GB2312" w:hAnsi="仿宋_GB2312" w:eastAsia="仿宋_GB2312" w:cs="仿宋_GB2312"/>
          <w:sz w:val="32"/>
          <w:szCs w:val="32"/>
          <w:lang w:eastAsia="zh-CN"/>
        </w:rPr>
        <w:t>媒体</w:t>
      </w:r>
      <w:r>
        <w:rPr>
          <w:rFonts w:hint="eastAsia" w:ascii="仿宋_GB2312" w:hAnsi="仿宋_GB2312" w:eastAsia="仿宋_GB2312" w:cs="仿宋_GB2312"/>
          <w:sz w:val="32"/>
          <w:szCs w:val="32"/>
        </w:rPr>
        <w:t>的合作，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政府网站、政务新媒体等载体，制发动态消息、刊发专报录制专题栏目等多渠道全方位宣传深化“放管服”改革优化营商环境的相关政策举措，准确传递权威信息和政策意图，让更多企业群众了解、参与、共同推进深化简政放权、放管结合、优化服务改革。</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rPr>
          <w:rFonts w:hint="eastAsia" w:ascii="仿宋_GB2312" w:hAnsi="华文楷体" w:eastAsia="仿宋_GB2312" w:cs="仿宋_GB2312"/>
          <w:color w:val="000000"/>
          <w:sz w:val="32"/>
          <w:szCs w:val="32"/>
        </w:rPr>
      </w:pPr>
    </w:p>
    <w:p>
      <w:pPr>
        <w:pStyle w:val="2"/>
        <w:rPr>
          <w:rFonts w:hint="eastAsia" w:ascii="仿宋_GB2312" w:hAnsi="华文楷体"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Cs/>
          <w:sz w:val="32"/>
          <w:szCs w:val="32"/>
          <w:lang w:val="en-US" w:eastAsia="zh-CN"/>
        </w:rPr>
      </w:pPr>
      <w:bookmarkStart w:id="0" w:name="_GoBack"/>
      <w:bookmarkEnd w:id="0"/>
    </w:p>
    <w:p>
      <w:pPr>
        <w:keepNext w:val="0"/>
        <w:keepLines w:val="0"/>
        <w:pageBreakBefore w:val="0"/>
        <w:pBdr>
          <w:top w:val="single" w:color="auto" w:sz="6" w:space="1"/>
          <w:bottom w:val="single" w:color="auto" w:sz="6" w:space="1"/>
        </w:pBdr>
        <w:kinsoku/>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sz w:val="32"/>
          <w:szCs w:val="32"/>
        </w:rPr>
      </w:pPr>
      <w:r>
        <w:rPr>
          <w:rFonts w:hint="eastAsia" w:ascii="仿宋_GB2312" w:eastAsia="仿宋_GB2312"/>
          <w:sz w:val="32"/>
          <w:szCs w:val="32"/>
        </w:rPr>
        <w:t xml:space="preserve">临夏县人民政府办公室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日印</w:t>
      </w:r>
      <w:r>
        <w:rPr>
          <w:rFonts w:hint="eastAsia" w:ascii="仿宋_GB2312" w:eastAsia="仿宋_GB2312"/>
          <w:sz w:val="32"/>
          <w:szCs w:val="32"/>
          <w:lang w:eastAsia="zh-CN"/>
        </w:rPr>
        <w:t>发</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3B1EA"/>
    <w:multiLevelType w:val="singleLevel"/>
    <w:tmpl w:val="C3E3B1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GE2YmJhNWFhNTFkOTQ3YWM0ZDNjNmE1ODliZTAifQ=="/>
  </w:docVars>
  <w:rsids>
    <w:rsidRoot w:val="67C01D69"/>
    <w:rsid w:val="08963B61"/>
    <w:rsid w:val="0CAE6F20"/>
    <w:rsid w:val="14E135FC"/>
    <w:rsid w:val="1E8474D2"/>
    <w:rsid w:val="24AA7567"/>
    <w:rsid w:val="260F6A23"/>
    <w:rsid w:val="26584C7F"/>
    <w:rsid w:val="37D44BCF"/>
    <w:rsid w:val="38860B35"/>
    <w:rsid w:val="3EF17834"/>
    <w:rsid w:val="485A7F65"/>
    <w:rsid w:val="49431BB4"/>
    <w:rsid w:val="4A7B537E"/>
    <w:rsid w:val="4C716A38"/>
    <w:rsid w:val="52F149C2"/>
    <w:rsid w:val="554F18E1"/>
    <w:rsid w:val="5A2D72C3"/>
    <w:rsid w:val="625B07A6"/>
    <w:rsid w:val="627B3D15"/>
    <w:rsid w:val="62946B85"/>
    <w:rsid w:val="65E04871"/>
    <w:rsid w:val="67C01D69"/>
    <w:rsid w:val="69424C47"/>
    <w:rsid w:val="6A1A02B8"/>
    <w:rsid w:val="6E01579A"/>
    <w:rsid w:val="733817AF"/>
    <w:rsid w:val="781B5C30"/>
    <w:rsid w:val="78ED0365"/>
    <w:rsid w:val="7BFD3595"/>
    <w:rsid w:val="7FB31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ascii="Cambria" w:hAnsi="Cambria" w:eastAsia="黑体" w:cs="Times New Roman"/>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8749</Words>
  <Characters>8873</Characters>
  <Lines>0</Lines>
  <Paragraphs>0</Paragraphs>
  <TotalTime>16</TotalTime>
  <ScaleCrop>false</ScaleCrop>
  <LinksUpToDate>false</LinksUpToDate>
  <CharactersWithSpaces>8896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2023-05-19T08:51:00Z</dcterms:created>
  <dc:creator>流浪的牧人</dc:creator>
  <cp:lastModifiedBy>达姆</cp:lastModifiedBy>
  <cp:lastPrinted>2023-06-06T02:32:00Z</cp:lastPrinted>
  <dcterms:modified xsi:type="dcterms:W3CDTF">2023-06-13T06:47:48Z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12091FC2FE674E0A9907B8C380FA1BDD_13</vt:lpwstr>
  </property>
</Properties>
</file>